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6B" w:rsidRPr="003F316B" w:rsidRDefault="003F316B" w:rsidP="003F316B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3F316B">
        <w:rPr>
          <w:rFonts w:ascii="方正小标宋_GBK" w:eastAsia="方正小标宋_GBK" w:hAnsi="宋体" w:cs="宋体" w:hint="eastAsia"/>
          <w:kern w:val="0"/>
          <w:sz w:val="36"/>
          <w:szCs w:val="36"/>
        </w:rPr>
        <w:t>淮安市2016年国民经济和社会发展统计公报</w:t>
      </w:r>
    </w:p>
    <w:p w:rsidR="003F316B" w:rsidRDefault="003F316B" w:rsidP="003F316B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淮安市统计局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国家统计局淮安调查队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（2017年3月28日）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F316B" w:rsidRPr="003F316B" w:rsidRDefault="003F316B" w:rsidP="003F316B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2016年，面对错综复杂的外部环境和不断加大的经济下行压力，全市上下认真贯彻落实中央和省委、省政府决策部署，按照市委工作要求，紧紧围绕早日建成全面小康社会和苏北重要中心城市两大目标，自觉</w:t>
      </w:r>
      <w:proofErr w:type="gramStart"/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践行</w:t>
      </w:r>
      <w:proofErr w:type="gramEnd"/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新发展理念，扎实推进供给侧结构性改革，全面统筹改革发展稳定各项工作，经济社会保持平稳健康发展，实现了"十三五"发展良好开局。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一、综合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经济运行平稳增长。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完成GDP总量3048亿元，按可比价格计算，比上年增长9.0%。其中，第一产业增加值324.61亿元，增长1.7%；第二产业增加值1268.15亿元，增长9.1%；第三产业增加值1455.24亿元，增长10.6%。三次产业比例由上年11.2:42.9:45.9调整升级为10.6: 41.7:47.7，第三产业增加值占GDP比重47.7%，比上年提升1.8个百分点。人均GDP 62446元人民币（按当年汇率折算9401美元），增长8.6%。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消费价格温和上涨。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市区居民消费价格比上年上涨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。其中，食品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烟酒类涨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，生活用品及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服务类涨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，教育文化和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娱乐类涨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，医疗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保健类涨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，其他用品和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服务类涨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，衣着类跌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，交通和通信类跌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，居住类基本持平。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就业形势保持稳定。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全年城镇新增就业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7.78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万人；下岗失业人员再就业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4.32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万人，其中困难群体再就业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6508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人。年末城镇登记失业率为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1.87%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，保持在较低水平。新增转移农村劳动力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2.26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万人，城乡劳动者职业技能培训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3.03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万人、创业培训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万人。</w:t>
      </w:r>
    </w:p>
    <w:p w:rsidR="003F316B" w:rsidRPr="003F316B" w:rsidRDefault="003F316B" w:rsidP="003F316B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年，全市经济社会发展中还面临一些问题，主要是：产业支撑不够牢固，自主创新有待增强，居民增收难度较大，中心城市的集聚辐射以及县域综合实力需要提升，基本公共服务均衡配置、宜居生态家园建设等方面尚存短板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二、农林牧渔和水利业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农业生产保持稳定。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全年粮食总产量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458.55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万吨，受极端气候因素影响，比上年减少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8.67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。其中，夏粮总产量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170.57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万吨，减少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6.80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；秋粮总产量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287.98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万吨，减少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1.87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。全年粮食播种面积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989.99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万亩，比上年增加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2.63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万亩，其中夏粮面积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463.08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万亩，增加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1.47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万亩；秋粮面积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526.91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万亩，增加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1.15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万亩。油料种植面积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43.71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万亩，减少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1.04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万亩，蔬菜种植面积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145.65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万亩，增加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0.92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万亩。完成成片造林面积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2.53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万亩。水产品总产量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26.10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万吨，下降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。年末农业机械总动力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623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万千瓦，增长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水利建设成效显著。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完成水利建设投资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32.5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亿元。淮河入江水道整治、洪泽湖大堤加固、分淮入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沂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整治等工程全部完成；黄河故道水利综合治理工程基本完成；列入国家规划的中小河流、大中型涵闸加固、大型泵站更新改造全面完成、发挥效益；淮河入海水道二期等一批重大项目前期工作取得新突破。里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运河北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门桥、堂子巷及古黄河水利枢纽等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"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三闸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"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工程全面建成运行，清江浦老城区除涝综合整治、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清隆桥泵站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改造、西郊泵站迁建等一批城市河道治理及涵闸工程建成运行。完成农村水利建设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4650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万土方，兴建建筑物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8758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座、防渗渠道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645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公里，疏浚县乡河道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1398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公里，整治村庄河塘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1413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面。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三、工业和建筑业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工业经济平稳运行。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完成规模以上工业增加值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1626.18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。其中：国有工业增加值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8.19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16.3%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；集体工业增加值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3.14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；股份制工业增加值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1108.31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17.5%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；外商港澳台投资工业增加值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313.13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。大中型工业企业增加值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678.02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。轻工业企业增加值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709.48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；重工业企业增加值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916.70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12.0%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优势特色产业不断壮大。</w:t>
      </w:r>
      <w:r w:rsidRPr="003F316B">
        <w:rPr>
          <w:rFonts w:ascii="仿宋" w:eastAsia="仿宋" w:hAnsi="仿宋" w:cs="宋体" w:hint="eastAsia"/>
          <w:kern w:val="0"/>
          <w:sz w:val="32"/>
          <w:szCs w:val="32"/>
        </w:rPr>
        <w:t>"4+2"优势特色产业实现产值4200.40亿元，比上年增长5.9%。其中盐化新材料、特钢及装备制造产业、电子信息、食品四大主导产业实现产值3840.10亿元，</w:t>
      </w:r>
      <w:proofErr w:type="gramStart"/>
      <w:r w:rsidRPr="003F316B">
        <w:rPr>
          <w:rFonts w:ascii="仿宋" w:eastAsia="仿宋" w:hAnsi="仿宋" w:cs="宋体" w:hint="eastAsia"/>
          <w:kern w:val="0"/>
          <w:sz w:val="32"/>
          <w:szCs w:val="32"/>
        </w:rPr>
        <w:t>占规模</w:t>
      </w:r>
      <w:proofErr w:type="gramEnd"/>
      <w:r w:rsidRPr="003F316B">
        <w:rPr>
          <w:rFonts w:ascii="仿宋" w:eastAsia="仿宋" w:hAnsi="仿宋" w:cs="宋体" w:hint="eastAsia"/>
          <w:kern w:val="0"/>
          <w:sz w:val="32"/>
          <w:szCs w:val="32"/>
        </w:rPr>
        <w:t>以上工业产值比重51.4%；新能源汽</w:t>
      </w:r>
      <w:r w:rsidRPr="003F31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车及零部件产业、生物技术及新医药产业等两大战略性新兴产业实现产值360.30亿元，增长9.5%。食品产业实现产值1015.9亿元，成为继电子信息产业后第二个千亿级产业。单位GDP能耗降低率完成省定任务。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骨干企业支撑有力。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全市有规模以上工业企业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2664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户，其中年销售收入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亿元以上企业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户，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亿元以上企业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户，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亿元以上企业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户。全市百户重点企业实现销售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2818.78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，高于规模以上工业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8.6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个百分点，占全市工业销售比重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38.6%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；实现利润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192.87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18.1%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，高于规模以上工业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个百分点，占全市工业利润比重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48.0%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建筑业稳步增长。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全市具有资质等级的总承包和专业承包建筑业企业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547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户，完成建筑业总产值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1337.29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，其中建筑工程产值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1282.16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。实现建筑业增加值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196.70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四、固定资产投资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投资规模较快扩张。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完成规模以上固定资产投资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2535.19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。其中工业投资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1518.49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；房地产开发投资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321.41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。民间投资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1781.94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，占全市规模以上投资比重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70.3%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。完成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220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个市级重大项目投资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1040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11.5%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，德科玛半导体、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时代芯存相变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存储器等一批投资超百亿元重大项目顺利开工。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五、国内贸易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消费市场稳中有进。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实现社会消费品零售总额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1083.83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。按经营单位所在地统计，城镇消费品零售额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964.50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；乡村消费品零售额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119.33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。按消费形态统计，批发零售业完成零售额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978.30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；住宿餐饮业完成零售额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105.53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消费热点持续活跃。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限额以上单位实现社会消费品零售额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525.16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。其中粮油、食品类增长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，烟酒类增长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，化妆品类增长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，金银珠宝类增长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，电子出版物及音像制品类增长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34.8%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，五金电料类增长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21.3%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，家具类增长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16.9%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，石油及制品类增长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6.5%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，建筑及装潢材料类增长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16.5%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，机电产品及设备类增长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46.2%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，汽车类增长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21.9%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六、开放型经济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对外贸易难中有进。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累计完成进出口总额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35.04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亿美元，比上年下降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。其中，出口总额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26.98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；进口总额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8.06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亿美元，下降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28.1%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。全市有进出口实绩企业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809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家，培育新增长点企业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家。组织企业参加广交会、日本大阪展、德国科隆五金展等境内外重点展会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330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家次，设立展位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570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多个。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外资外经加快发展。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全年新批外资项目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240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个，协议外资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28.58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亿美元，到账外资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11.6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亿美元。新设立总投资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亿美元以上项目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个、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3000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万美元以上项目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个。新批伊弗特精密零部件、金俊装备工业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和澳洋顺昌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集成电路等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一批重大外资项目，其中伊弗特精密零部件项目计划总投资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1.55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亿元美元。完成外经营业额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1.30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24.4%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。对外承包工程新签合同额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1.25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亿美元，增长近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倍。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七、交通、邮电和旅游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交通基础建设力度加大。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完成交通基础设施建设投资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93.80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221.0%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。宁连路南门立交建成通车，新港二期码头完成主体工程施工，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连淮扬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镇、徐宿淮盐两条高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铁完成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征地拆迁，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宿扬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高速</w:t>
      </w:r>
      <w:proofErr w:type="gramEnd"/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、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503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省道、淮河出海航道整治以及京杭运河淮海路大桥、</w:t>
      </w:r>
      <w:proofErr w:type="gramStart"/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京杭运河黄码大桥</w:t>
      </w:r>
      <w:proofErr w:type="gramEnd"/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淮海路跨古淮河桥</w:t>
      </w:r>
      <w:proofErr w:type="gramEnd"/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等项目全面推进，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348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省道淮安区段等重点项目开工建设。新改建农村公路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500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公里、桥梁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97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座。计划总投资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151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亿元的市区快速路一期工程开工建设。全市年末公路总里程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13354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公里，其中高速公路里程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403.40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公里，一级公路里程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631.90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公里。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运输业稳步发展。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完成公路、水路货运量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1.22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亿吨、周转量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372.13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亿吨公里，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  <w:lang w:val="zh-CN"/>
        </w:rPr>
        <w:t>比上年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分别增长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1.6%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和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2.8%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。完成港口货物吞吐量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9050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万吨，增长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13.1%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；完成集装箱吞吐量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15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万标箱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，增长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11.5%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。淮安机场新开通日本大阪、重庆、大连、海口、福州等航线，通航城市达到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20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个；完成旅客吞吐量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86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万人次、货邮吞吐量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4638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吨，分别增长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70.7%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、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23.5%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。市区投放新能源公交车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700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辆。现代有轨电车全年客流突破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540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万人次。新增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24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个乡镇</w:t>
      </w:r>
      <w:proofErr w:type="gramStart"/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开通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lastRenderedPageBreak/>
        <w:t>镇</w:t>
      </w:r>
      <w:proofErr w:type="gramEnd"/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村公交，全市镇村公交开通率达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63%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。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A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级物流企业总数增至</w:t>
      </w:r>
      <w:r w:rsidRPr="003F316B">
        <w:rPr>
          <w:rFonts w:ascii="宋体" w:eastAsia="宋体" w:hAnsi="宋体" w:cs="宋体" w:hint="eastAsia"/>
          <w:kern w:val="0"/>
          <w:sz w:val="32"/>
          <w:szCs w:val="30"/>
        </w:rPr>
        <w:t>22</w:t>
      </w:r>
      <w:r w:rsidRPr="003F316B">
        <w:rPr>
          <w:rFonts w:ascii="Calibri" w:eastAsia="仿宋_GB2312" w:hAnsi="宋体" w:cs="宋体" w:hint="eastAsia"/>
          <w:kern w:val="0"/>
          <w:sz w:val="32"/>
          <w:szCs w:val="30"/>
        </w:rPr>
        <w:t>家。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邮电通讯业平稳发展。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完成电信业务收入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26.11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亿元，比上年增长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2.2%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；邮政业务收入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14.53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39.9%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。年末固定电话用户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51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万户，下降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25.1%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。移动电话用户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429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万户，增长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2.8%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。年末互联网固定宽带用户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95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万户，增长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17.3%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旅游业加速发展。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实现旅游业总收入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308.57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。其中，国内旅游收入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305.64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；旅游外汇收入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1704.53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万美元，增长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。接待境内外游客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2612.4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万人次，比上年增长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；接待入境过夜游客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1.82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万人次，增长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24.2%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。全市共有国家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级旅游景区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家，其中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5A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级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4A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级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家；省星级乡村旅游区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52 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家，省级自驾游基地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家，省级旅游度假区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家，省级生态旅游示范区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家。有星级旅游饭店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家，其中五星级旅游饭店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家；旅行社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家，其中四星级旅行社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家、出境社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家；持证导游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4513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人。中国漕运城、西游记文化体验园、白马湖生态旅游度假区、美丽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蒋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坝休闲旅游度假区项目入选全国优选旅游项目。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八、财政、金融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财政支出结构改善。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实现财政总收入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483.13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亿元，比上年下降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5.3%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，其中一般公共预算收入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315.51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亿元，下降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9.9%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。一般公共预算支出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483.45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亿元，比上年下降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5.8%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，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lastRenderedPageBreak/>
        <w:t>其中财政民生类支出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353.95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亿元，下降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5.4%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，占一般公共预算支出比重达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73.2%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，比上年提升</w:t>
      </w:r>
      <w:r w:rsidRPr="003F316B">
        <w:rPr>
          <w:rFonts w:ascii="宋体" w:eastAsia="宋体" w:hAnsi="宋体" w:cs="宋体" w:hint="eastAsia"/>
          <w:kern w:val="0"/>
          <w:sz w:val="32"/>
          <w:szCs w:val="32"/>
        </w:rPr>
        <w:t>0.3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个百分点。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金融市场稳健运行。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年末全市金融机构人民币存款余额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3066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亿元，比年初增长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31.7%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。其中，住户存款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1360.51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14.9%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，占全部存款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44.4%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；非金融企业存款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1049.81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65.1%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，占全部存款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34.2%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。年末金融机构人民币贷款余额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2304.22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亿元，比年初增长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23.6%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。其中，中长期贷款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1426.86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44.2%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；基础设施贷款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398.90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104.6%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。实现保费收入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77.10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23.3%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。其中，财产保险收入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22.70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；寿险收入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44.90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23.8%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；健康险和意外伤害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险收入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9.50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43.4%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。全年保险赔款和给付支出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28.70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九、科学技术和教育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科技创新能力增强。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研究与试验发展（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R&amp;D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）经费支出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GDP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比重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。完成高新技术产业产值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1909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亿元，增长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13.16%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。新认定省级高新技术产品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个、市级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个；新认定省级高新技术企业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家、市级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家。专利申请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17293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件，专利授权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8081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件，发明专利申请量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4061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件。企业专利申请量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9667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93.8%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；企业专利授权量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4307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件，增长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49.3%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。万人有效发明专利拥有量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3.55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件，比上年增长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29.5%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。新获认定国家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众创空间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家、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省众创空间</w:t>
      </w:r>
      <w:proofErr w:type="gramEnd"/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家，全市省级以上科技企业孵化器孵化面积达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万平方米。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科研实力显著增强。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新设立清华大学苏州汽车研究院技术转移淮安中心；组织签订大院名校科技合作交流项目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项。井神盐化获国家企业技术中心认定，为全市首个国家级研发机构；</w:t>
      </w:r>
      <w:r w:rsidRPr="003F316B">
        <w:rPr>
          <w:rFonts w:ascii="仿宋_GB2312" w:eastAsia="仿宋_GB2312" w:hAnsi="Arial" w:cs="Arial" w:hint="eastAsia"/>
          <w:kern w:val="0"/>
          <w:sz w:val="32"/>
          <w:szCs w:val="32"/>
        </w:rPr>
        <w:t>新增省级科技公共服务平台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3F316B">
        <w:rPr>
          <w:rFonts w:ascii="仿宋_GB2312" w:eastAsia="仿宋_GB2312" w:hAnsi="Arial" w:cs="Arial" w:hint="eastAsia"/>
          <w:kern w:val="0"/>
          <w:sz w:val="32"/>
          <w:szCs w:val="32"/>
        </w:rPr>
        <w:t>个，新建市级科技公共服务平台10个</w:t>
      </w:r>
      <w:r w:rsidRPr="003F316B">
        <w:rPr>
          <w:rFonts w:ascii="仿宋_GB2312" w:eastAsia="仿宋_GB2312" w:hAnsi="Times New Roman" w:cs="宋体" w:hint="eastAsia"/>
          <w:kern w:val="0"/>
          <w:sz w:val="32"/>
          <w:szCs w:val="32"/>
        </w:rPr>
        <w:t>；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新获认定江苏省智能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交互工程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技术研究中心等省级工程技术研究中心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个，新建市级重点实验室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个，市级工程技术研究中心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教育事业协调发展。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拥有各级各类学校、成规模幼儿园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898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所，在校生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87.12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万人，教职工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5.59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万人。其中，成规模幼儿园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424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所，在园幼儿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17.56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万人；小学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252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所，小学生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35.05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万人；初中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含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所九年制学校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，初中生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14.31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万人；高中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所（含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所完全中学），高中生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7.22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万人；中等职业学校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所，在校学生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6.2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万人；高校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所，大学生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6.69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万人；特殊教育学校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所，在校学生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0.09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万人。通过义务教育基本均衡发展国家督导认定，全市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109</w:t>
      </w:r>
      <w:r w:rsidRPr="003F316B">
        <w:rPr>
          <w:rFonts w:ascii="Calibri" w:eastAsia="仿宋_GB2312" w:hAnsi="宋体" w:cs="宋体" w:hint="eastAsia"/>
          <w:kern w:val="0"/>
          <w:sz w:val="32"/>
          <w:szCs w:val="32"/>
        </w:rPr>
        <w:t>所中小学达到全国义务教育学校管理示范校标准。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淮阴卫校成功升格为江苏护理职业学院。</w:t>
      </w:r>
    </w:p>
    <w:p w:rsidR="003F316B" w:rsidRPr="003F316B" w:rsidRDefault="003F316B" w:rsidP="003F316B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宋体" w:hint="eastAsia"/>
          <w:b/>
          <w:kern w:val="0"/>
          <w:sz w:val="32"/>
          <w:szCs w:val="32"/>
        </w:rPr>
        <w:t>十、文化、卫生和体育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文化事业繁荣发展。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全市每万人拥有公共文化设施面积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1595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平方米，公共文化服务设施覆盖率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95%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，人均公共图书馆总藏量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0.93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册。市公共数字文化综合服务平台项目搭建完成，被文化部评为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年国家基层公共数字文化服务推广项目。淮安大剧院正式对外运营；淮海戏《林道静》等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个项目获得国家艺术基金资助；江苏华夏云锦织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造有限公司被国家版权局授予全国版权示范单位；盱眙县创成第三批省级公共文化服务体系示范区。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卫生服务体系更加健全。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全市有各类卫生机构（不含村卫生室）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813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个，其中疾病预防控制机构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个，卫生监督机构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个，综合医院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个，专科医院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个，中医院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个，妇幼保健机构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个，卫生院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128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个，社区卫生服务中心（站）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个。各类卫生机构实有病床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27529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张，其中医院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17574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张、卫生院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7926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张。卫生技术人员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3.15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万人，其中执业（助理）医师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1.24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万人，注册护士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1.43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万人；疾病预防控制机构卫生技术人员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432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人，卫生监督机构卫生技术人员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167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人，妇幼卫生保健机构卫生技术人员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1587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人。市妇幼保健院、市公共卫生中心异地新建有序推进，市直医院全部达到三级以上。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体育事业成果显著。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成功举办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国际智力运动联盟智力运动精英赛、里运河中国淮安·丝绸之路户外运动挑战赛以及全市第八届运动会等赛事。新建健身路径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套、健身步道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58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公里、笼式足球场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个、拼装式游泳池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个，全市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个乡镇建成多功能运动场。市本级被列为首批省级体育改革发展试验区，淮安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区施河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镇被命名为首批省级体育健康特色小镇。在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年里约奥运会花样游泳比赛中，我市培养的淮安籍运动员梁馨</w:t>
      </w:r>
      <w:proofErr w:type="gramStart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枰</w:t>
      </w:r>
      <w:proofErr w:type="gramEnd"/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摘得银牌。</w:t>
      </w:r>
    </w:p>
    <w:p w:rsidR="003F316B" w:rsidRPr="003F316B" w:rsidRDefault="003F316B" w:rsidP="003F316B">
      <w:pPr>
        <w:widowControl/>
        <w:adjustRightIn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仿宋_GB2312" w:hint="eastAsia"/>
          <w:b/>
          <w:kern w:val="0"/>
          <w:sz w:val="32"/>
          <w:szCs w:val="32"/>
        </w:rPr>
        <w:t>十一、环境保护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环境保护能力提高。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通过国家</w:t>
      </w:r>
      <w:proofErr w:type="gramStart"/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生态市</w:t>
      </w:r>
      <w:proofErr w:type="gramEnd"/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考核验收，成功创建国家节水型城市。全市设立自然保护区5个，面积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7.09万公顷,其中省级自然保护区2个，面积5.7万公顷。空气质量优良天数280天，优良率76.5%；城市水域功能区水质优良率81.5%，集中式饮用水源地水质达标率100%；市区环境噪声平均等效声级53.5分贝，声环境质量等级较好。盱眙县、淮安区和淮阴区通过国家生态县区考核验收，市经济技术开发区通过国家生态工业示范园区验收，市工业园区获得省级生态工业园区命名。 </w:t>
      </w:r>
    </w:p>
    <w:p w:rsidR="003F316B" w:rsidRPr="003F316B" w:rsidRDefault="003F316B" w:rsidP="003F316B">
      <w:pPr>
        <w:widowControl/>
        <w:adjustRightIn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宋体" w:eastAsia="宋体" w:hAnsi="宋体" w:cs="仿宋_GB2312" w:hint="eastAsia"/>
          <w:b/>
          <w:kern w:val="0"/>
          <w:sz w:val="32"/>
          <w:szCs w:val="32"/>
        </w:rPr>
        <w:t>十二、人口、居民生活和社会保障</w:t>
      </w:r>
    </w:p>
    <w:p w:rsidR="003F316B" w:rsidRPr="003F316B" w:rsidRDefault="003F316B" w:rsidP="003F316B">
      <w:pPr>
        <w:widowControl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人口规模小幅增加。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年末户籍总人口567.56万人，比上年增加3.11万人；其中男性人口291.24万人，占总人口51.3%，女性人口276.31万人，占总人口48.7%。年末常住人口489万人，比上年增加1.8万人；其中城镇人口291.84万人，增加8.53万人。常住人口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城市化率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>59.7%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，比上年提升</w:t>
      </w:r>
      <w:r w:rsidRPr="003F316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1.5</w:t>
      </w:r>
      <w:r w:rsidRPr="003F316B">
        <w:rPr>
          <w:rFonts w:ascii="Times New Roman" w:eastAsia="仿宋_GB2312" w:hAnsi="Times New Roman" w:cs="宋体" w:hint="eastAsia"/>
          <w:kern w:val="0"/>
          <w:sz w:val="32"/>
          <w:szCs w:val="32"/>
        </w:rPr>
        <w:t>个百分点。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常住人口出生率10.93‰，死亡率7.44‰，自然增长率3.49‰。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居民收入稳步增长。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全体常住居民人均可支配收入22762元，比上年增长9.2%。城镇居民人均可支配收入30335元，增长7.9%；人均消费性支出16912元，增长6.6%。农村居民人均可支配收入14319元，比上年增长9.1%；人均生活消费支出9633元，增长11.8%。城镇常住居民人均住房面积44.2平方米，农村常住居民人均住房面积51.2平方米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楷体_GB2312" w:eastAsia="楷体_GB2312" w:hAnsi="宋体" w:cs="宋体" w:hint="eastAsia"/>
          <w:b/>
          <w:kern w:val="0"/>
          <w:sz w:val="32"/>
          <w:szCs w:val="32"/>
        </w:rPr>
        <w:t>社会保障体系不断完善。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年末全市参加企业养老保险职工人数90.27万人，比上年增加1.37万人；其中农民工</w: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参保6.7万人，个体灵活就业人员参保36.04万人。参加工伤保险51.66万人，比上年增加0.5万人；生育保险50.00万人，增加3.13万人；失业保险人数64.3万</w:t>
      </w:r>
      <w:r w:rsidRPr="003F316B">
        <w:rPr>
          <w:rFonts w:ascii="仿宋_GB2312" w:eastAsia="仿宋_GB2312" w:hAnsi="宋体" w:cs="宋体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http://172.20.11.197/hatjw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6610C" id="矩形 1" o:spid="_x0000_s1026" alt="http://172.20.11.197/hatjw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bwOymdUCAADY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人，增加1.1万人。参加城镇职工基本医疗保险81.42万人，城镇居民基本医疗保险参保人数80.92万人。参加农村养老保险人数126.32万人，参保率99.48%。全市共支付27.78万名企业离退休人员养老金60.70亿元，全年征缴养老保险费48.16亿元，组织27.63万名企业退休人员第四轮免费体检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注：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(1)公报中部分指标数据为快报数，最终数据以《淮安统计年鉴-2017》公布为准。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(2) GDP、产业增加值和人均GDP绝对数按现价计算，增长速度按可比价计算，为实际增长速度。其他指标除特殊说明外，按现价计算，增速为名义增长。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(3)"4+2"优势特色产业：指盐化新材料、特钢及装备制造、电子信息、食品产业四大主导产业和新能源汽车及零部件、生物技术及新医药产业两大战略性新兴产业。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(4)房地产业投资除房地产开发投资外，还包括建设单位自建房屋以及物业管理、中介服务和其他房地产投资。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t>(5)民间固定资产投资是指具有集体、私营、个人性质的内资企事业单位以及由其控股（包括绝对控股和相对控股）的企业单位建造或购置固定资产的投资。</w:t>
      </w:r>
    </w:p>
    <w:p w:rsidR="003F316B" w:rsidRPr="003F316B" w:rsidRDefault="003F316B" w:rsidP="003F316B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3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(6)中等职业教育包括普通中专、成人中专、职业高中和技工学校。</w:t>
      </w:r>
    </w:p>
    <w:p w:rsidR="00DB3FC4" w:rsidRPr="003F316B" w:rsidRDefault="00DB3FC4"/>
    <w:sectPr w:rsidR="00DB3FC4" w:rsidRPr="003F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B"/>
    <w:rsid w:val="003F316B"/>
    <w:rsid w:val="00D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882EC-F5C8-429F-B3D0-D7EAFAB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5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1069</Words>
  <Characters>6098</Characters>
  <Application>Microsoft Office Word</Application>
  <DocSecurity>0</DocSecurity>
  <Lines>50</Lines>
  <Paragraphs>14</Paragraphs>
  <ScaleCrop>false</ScaleCrop>
  <Company>国家统计局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张燕武(分发)</dc:creator>
  <cp:keywords/>
  <dc:description/>
  <cp:lastModifiedBy>张燕武(分发)</cp:lastModifiedBy>
  <cp:revision>1</cp:revision>
  <dcterms:created xsi:type="dcterms:W3CDTF">2020-04-08T03:38:00Z</dcterms:created>
  <dcterms:modified xsi:type="dcterms:W3CDTF">2020-04-08T03:38:00Z</dcterms:modified>
</cp:coreProperties>
</file>