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8" w:rsidRPr="00367EA0" w:rsidRDefault="00E71848" w:rsidP="00E71848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OLE_LINK2"/>
    </w:p>
    <w:p w:rsidR="00E71848" w:rsidRPr="00367EA0" w:rsidRDefault="00E71848" w:rsidP="00E71848">
      <w:pPr>
        <w:jc w:val="center"/>
        <w:rPr>
          <w:rFonts w:ascii="Times New Roman" w:eastAsia="华文行楷" w:hAnsi="Times New Roman"/>
          <w:color w:val="FF0000"/>
          <w:sz w:val="160"/>
          <w:szCs w:val="160"/>
        </w:rPr>
      </w:pP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统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计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分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析</w:t>
      </w:r>
    </w:p>
    <w:p w:rsidR="00E71848" w:rsidRPr="00367EA0" w:rsidRDefault="00E71848" w:rsidP="00E71848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367EA0">
        <w:rPr>
          <w:rFonts w:ascii="Times New Roman" w:eastAsia="仿宋_GB2312" w:hAnsi="Times New Roman"/>
          <w:sz w:val="32"/>
          <w:szCs w:val="32"/>
        </w:rPr>
        <w:t>期</w:t>
      </w: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 w:hint="eastAsia"/>
          <w:sz w:val="32"/>
          <w:szCs w:val="32"/>
        </w:rPr>
        <w:t>淮安</w:t>
      </w:r>
      <w:r w:rsidRPr="00367EA0">
        <w:rPr>
          <w:rFonts w:ascii="Times New Roman" w:eastAsia="仿宋_GB2312" w:hAnsi="Times New Roman"/>
          <w:sz w:val="32"/>
          <w:szCs w:val="32"/>
        </w:rPr>
        <w:t>市统计局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</w:t>
      </w:r>
      <w:r w:rsidRPr="00367EA0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                 2017</w:t>
      </w:r>
      <w:r w:rsidRPr="00367EA0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367EA0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7</w:t>
      </w:r>
      <w:r w:rsidRPr="00367EA0">
        <w:rPr>
          <w:rFonts w:ascii="Times New Roman" w:eastAsia="仿宋_GB2312" w:hAnsi="Times New Roman"/>
          <w:sz w:val="32"/>
          <w:szCs w:val="32"/>
        </w:rPr>
        <w:t>日</w:t>
      </w:r>
    </w:p>
    <w:p w:rsidR="00E71848" w:rsidRPr="00F15ED1" w:rsidRDefault="00E71848" w:rsidP="00E71848">
      <w:pPr>
        <w:rPr>
          <w:rFonts w:ascii="Times New Roman" w:eastAsia="仿宋_GB2312" w:hAnsi="Times New Roman"/>
          <w:sz w:val="28"/>
          <w:szCs w:val="28"/>
        </w:rPr>
      </w:pPr>
      <w:r w:rsidRPr="00367E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2860" t="15875" r="15240" b="222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FE88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" strokecolor="red" strokeweight="2.25pt"/>
            </w:pict>
          </mc:Fallback>
        </mc:AlternateContent>
      </w:r>
    </w:p>
    <w:p w:rsidR="00E71848" w:rsidRPr="00266391" w:rsidRDefault="00E71848" w:rsidP="00E71848">
      <w:pPr>
        <w:jc w:val="center"/>
        <w:rPr>
          <w:rFonts w:ascii="方正小标宋_GBK" w:eastAsia="方正小标宋_GBK" w:hAnsi="华文中宋" w:hint="eastAsia"/>
          <w:sz w:val="44"/>
          <w:szCs w:val="44"/>
        </w:rPr>
      </w:pPr>
      <w:bookmarkStart w:id="1" w:name="_GoBack"/>
      <w:bookmarkEnd w:id="0"/>
      <w:r w:rsidRPr="00266391">
        <w:rPr>
          <w:rFonts w:ascii="方正小标宋_GBK" w:eastAsia="方正小标宋_GBK" w:hAnsi="华文中宋" w:hint="eastAsia"/>
          <w:sz w:val="44"/>
          <w:szCs w:val="44"/>
        </w:rPr>
        <w:t xml:space="preserve">人口总量稳步增长 </w:t>
      </w:r>
      <w:r>
        <w:rPr>
          <w:rFonts w:ascii="方正小标宋_GBK" w:eastAsia="方正小标宋_GBK" w:hAnsi="华文中宋"/>
          <w:sz w:val="44"/>
          <w:szCs w:val="44"/>
        </w:rPr>
        <w:t xml:space="preserve"> </w:t>
      </w:r>
      <w:r w:rsidRPr="00266391">
        <w:rPr>
          <w:rFonts w:ascii="方正小标宋_GBK" w:eastAsia="方正小标宋_GBK" w:hAnsi="华文中宋" w:hint="eastAsia"/>
          <w:sz w:val="44"/>
          <w:szCs w:val="44"/>
        </w:rPr>
        <w:t>人口素质显著提升</w:t>
      </w:r>
    </w:p>
    <w:bookmarkEnd w:id="1"/>
    <w:p w:rsidR="00E71848" w:rsidRPr="00266391" w:rsidRDefault="00E71848" w:rsidP="00E71848">
      <w:pPr>
        <w:jc w:val="center"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cs="宋体" w:hint="eastAsia"/>
          <w:color w:val="000000"/>
          <w:sz w:val="32"/>
          <w:szCs w:val="32"/>
          <w:lang w:val="zh-CN"/>
        </w:rPr>
        <w:t>——党的十八大以来淮安经济社会发展成就系列之八</w:t>
      </w:r>
    </w:p>
    <w:p w:rsidR="00E71848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十八大以来，淮安常住人口止跌回升，城镇化水平不断提高，人口素质全面提升，为全市经济平稳发展，建设更高水平的小康社会提供了良好的人口环境，现简要分析如下：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黑体" w:eastAsia="黑体" w:hAnsi="黑体" w:hint="eastAsia"/>
          <w:sz w:val="32"/>
          <w:szCs w:val="32"/>
        </w:rPr>
      </w:pPr>
      <w:r w:rsidRPr="00266391">
        <w:rPr>
          <w:rFonts w:ascii="黑体" w:eastAsia="黑体" w:hAnsi="黑体" w:hint="eastAsia"/>
          <w:sz w:val="32"/>
          <w:szCs w:val="32"/>
        </w:rPr>
        <w:t>一、人口基本情况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1、人口数量止跌回升。在2012年之前，淮安作为劳务净输出城市，人口流出始终大于人口流入，常住人口逐年减少。但随着经济的发展，就业机会增加，吸引了临近省市的劳务人员来淮就业，同时政府对外出农民工返乡创业的支持也带来了人口出现回流。全市常住人口从2012年的最低点480.3万人</w:t>
      </w:r>
      <w:r w:rsidRPr="00266391">
        <w:rPr>
          <w:rFonts w:ascii="仿宋_GB2312" w:eastAsia="仿宋_GB2312" w:hAnsi="仿宋" w:hint="eastAsia"/>
          <w:sz w:val="32"/>
          <w:szCs w:val="32"/>
        </w:rPr>
        <w:lastRenderedPageBreak/>
        <w:t>开始稳步增长到2016年的489万人，年均增加2.18万人。</w:t>
      </w:r>
    </w:p>
    <w:p w:rsidR="00E71848" w:rsidRPr="00266391" w:rsidRDefault="00E71848" w:rsidP="00E71848">
      <w:pPr>
        <w:spacing w:line="220" w:lineRule="atLeas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26639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572000" cy="2743200"/>
            <wp:effectExtent l="0" t="0" r="0" b="0"/>
            <wp:docPr id="4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2、自然增长率逐步走低。淮安严格执行计划生育政策，全市出生率稳中有降，虽然国家相继出台了单独二孩、全面二孩的政策，但因为育龄妇女总量的减少，出生率并未得到提升。出生率从2012年的12.16‰走低至2016年的10.93‰，同期的死亡率则波动不大，从2012年的7.41‰变化为2016年的7.44‰，自然增长率从2012年的4.75‰走低至2016年的3.49‰。</w:t>
      </w:r>
    </w:p>
    <w:p w:rsidR="00E71848" w:rsidRPr="00266391" w:rsidRDefault="00E71848" w:rsidP="00E71848">
      <w:pPr>
        <w:spacing w:line="220" w:lineRule="atLeas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26639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572000" cy="2743200"/>
            <wp:effectExtent l="0" t="0" r="0" b="0"/>
            <wp:docPr id="3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lastRenderedPageBreak/>
        <w:t>3、城镇化率增长较快。随着城市规划的不断完善，生态文旅区等新区发展迅速，人口聚集能力增强，城镇人口不断增加，城市化水平稳步提高。从2012年的53.5%提高至2016年的59.68%，年均提高1.55个百分点。</w:t>
      </w:r>
    </w:p>
    <w:p w:rsidR="00E71848" w:rsidRPr="00266391" w:rsidRDefault="00E71848" w:rsidP="00E71848">
      <w:pPr>
        <w:spacing w:line="220" w:lineRule="atLeas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26639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572000" cy="2743200"/>
            <wp:effectExtent l="0" t="0" r="0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4、抚养比持续增加。劳动年龄内人口数逐渐减少，总量从2012年的349.33万人减少到2016年的348.72万人，比重则从2012年的72.73%减少到2016年的71.31%。意味着平均每一个劳动力要抚养更多的老人和孩子，抚养比在不断提高，从37.49提高到40.23。</w:t>
      </w:r>
    </w:p>
    <w:tbl>
      <w:tblPr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434"/>
        <w:gridCol w:w="1510"/>
        <w:gridCol w:w="591"/>
        <w:gridCol w:w="1412"/>
        <w:gridCol w:w="689"/>
        <w:gridCol w:w="2101"/>
      </w:tblGrid>
      <w:tr w:rsidR="00E71848" w:rsidRPr="00266391" w:rsidTr="005C3BAE">
        <w:trPr>
          <w:trHeight w:val="270"/>
          <w:jc w:val="center"/>
        </w:trPr>
        <w:tc>
          <w:tcPr>
            <w:tcW w:w="8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分年龄段人口比重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righ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单位：%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年份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Default="00E71848" w:rsidP="005C3BAE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0-14岁</w:t>
            </w:r>
          </w:p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人口比重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Default="00E71848" w:rsidP="005C3BAE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15-64岁</w:t>
            </w:r>
          </w:p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人口比重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Default="00E71848" w:rsidP="005C3BAE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65岁以上</w:t>
            </w:r>
          </w:p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人口比重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2012年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16.65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72.73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10.62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2013年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16.77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72.42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10.81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2014年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16.95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71.87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11.17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2015年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17.07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71.43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11.50</w:t>
            </w:r>
          </w:p>
        </w:tc>
      </w:tr>
      <w:tr w:rsidR="00E71848" w:rsidRPr="00266391" w:rsidTr="005C3BAE">
        <w:trPr>
          <w:trHeight w:val="27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2016年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17.11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71.31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848" w:rsidRPr="00266391" w:rsidRDefault="00E71848" w:rsidP="005C3BAE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266391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11.58</w:t>
            </w:r>
          </w:p>
        </w:tc>
      </w:tr>
    </w:tbl>
    <w:p w:rsidR="00E71848" w:rsidRPr="00266391" w:rsidRDefault="00E71848" w:rsidP="00E71848">
      <w:pPr>
        <w:spacing w:line="2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5、老龄化步伐加快。按照国际标准，一个国家65岁及以上人口比重超过7%或60岁以上人口比重超过10%，便定义为老龄社会。2012年全市60岁以上、65岁以上人口比重分别为16.13%、10.62%；2016年全市60岁以上、65岁以上人口比重分别为18.61%、11.58%，均呈现不断增长趋势。老年人口的年均增长速度(2.65%)高于常住人口的年均增长速度(0.45%)，加快了淮安人口老龄化的步伐。</w:t>
      </w:r>
    </w:p>
    <w:p w:rsidR="00E71848" w:rsidRPr="00266391" w:rsidRDefault="00E71848" w:rsidP="00E71848">
      <w:pPr>
        <w:spacing w:line="220" w:lineRule="atLeas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 w:rsidRPr="00266391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572000" cy="2743200"/>
            <wp:effectExtent l="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6、人口素质显著提升。随着生活水平的提高和教育公共卫生事业的进步，人口总体健康状况不断改善，受教育水平不断提升，劳动力素质整体提升。平均预期寿命“六普”为75.61岁，比“五普”提高了3.1岁。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黑体" w:eastAsia="黑体" w:hAnsi="黑体" w:hint="eastAsia"/>
          <w:sz w:val="32"/>
          <w:szCs w:val="32"/>
        </w:rPr>
      </w:pPr>
      <w:r w:rsidRPr="00266391">
        <w:rPr>
          <w:rFonts w:ascii="黑体" w:eastAsia="黑体" w:hAnsi="黑体" w:hint="eastAsia"/>
          <w:sz w:val="32"/>
          <w:szCs w:val="32"/>
        </w:rPr>
        <w:lastRenderedPageBreak/>
        <w:t>二、促进人口发展的建议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1、继续保持经济良好发展。实现地区生产总值稳定增长，社会充分就业，提高城市的承载能力，吸引周边省份劳动力前来就业。继续推进全民创业万众创新，加强引导，做好信息发布及资源利用，鼓励扶持人们积极创业。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2、创造可持续发展的人口条件，实现人口数量的稳定增长。全面二孩政策实施后，人口较少的洪泽区率先出台了一系列鼓励生育的政策，引起了较大的社会反响。全面二孩政策实施后二孩总数有了明显提升，但育龄妇女总量的减少却带来了一孩总量的减少，总出生人口增长有限。同时受女方年龄偏大及考虑到孩子的教育及预期的住房支出，一部分符合条件的夫妻并无生育意向。积极鼓励生育的同时也要引导群众改变生育观念。提升民众的生育意愿，切实减轻家庭养育负担，促进人口可持续均衡化发展，进而从根本上调整优化人口年龄结构，缓解老龄化加快带来的一系列问题。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3、努力提升人口素质。城市的快速发展吸引了大量人口进城，家长对教育的重视也带来了入园难，学区房价格暴涨等问题。政府要努力改善学前教育滞后的情况，继续普及和巩固九年义务教育，完善多层次社会化办学，努力实现教育均衡化，给百姓更多的选择，不再为上学心慌慌。加强中等职业教育和技术学校的支持力度，培养社会短缺的高技能人才。加强对劳动力的职业教育和技能培训，提高劳动力的文化和技能素质，</w:t>
      </w:r>
      <w:r w:rsidRPr="00266391">
        <w:rPr>
          <w:rFonts w:ascii="仿宋_GB2312" w:eastAsia="仿宋_GB2312" w:hAnsi="仿宋" w:hint="eastAsia"/>
          <w:sz w:val="32"/>
          <w:szCs w:val="32"/>
        </w:rPr>
        <w:lastRenderedPageBreak/>
        <w:t>全面提升人口的教育水平，提升人口的综合素质。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4、实现老年资源的综合开发。随着科学发展和医学的进步，人口平均预期寿命延长，老年人的健康状况良好。老年人有着丰富的工作经验和多年的技术积累，对于有就业意向的有能力的老人可以积极鼓励，开展有针对性的教育培训，促长补短，提高他们适应新知识、新技术的能力；保障老年人再就业的合法权益，使得老年人力资本能够得到最大化的利用。实现老有所用，体现老人的人生价值，提高生活质量，可以为社会增加劳动力供给，缓解一定的缺工压力。</w:t>
      </w:r>
    </w:p>
    <w:p w:rsidR="00E71848" w:rsidRPr="00266391" w:rsidRDefault="00E71848" w:rsidP="00E71848">
      <w:pPr>
        <w:spacing w:line="360" w:lineRule="auto"/>
        <w:ind w:firstLineChars="200" w:firstLine="640"/>
        <w:contextualSpacing/>
        <w:rPr>
          <w:rFonts w:ascii="仿宋_GB2312" w:eastAsia="仿宋_GB2312" w:hAnsi="仿宋" w:hint="eastAsia"/>
          <w:sz w:val="32"/>
          <w:szCs w:val="32"/>
        </w:rPr>
      </w:pPr>
      <w:r w:rsidRPr="00266391">
        <w:rPr>
          <w:rFonts w:ascii="仿宋_GB2312" w:eastAsia="仿宋_GB2312" w:hAnsi="仿宋" w:hint="eastAsia"/>
          <w:sz w:val="32"/>
          <w:szCs w:val="32"/>
        </w:rPr>
        <w:t>5、加快发展养老产业。建立健全相关机制，扩大社会养老服务范围，采取多种形式扶持发展养老服务业，动员社会力量，兴办各种形式的养老服务机构，逐渐形成由家庭、社区、养老机构、其他社会成员和组织等组成的多层次养老服务体系。一方面增加养老服务行业的就业机会，另一方面提高老年的生活质量和安全问题，可以随时观看老人的身体状况，避免独居老人身边无人照应的凄惨，解决好老年人口问题。</w:t>
      </w:r>
    </w:p>
    <w:p w:rsidR="00E71848" w:rsidRPr="00266391" w:rsidRDefault="00E71848" w:rsidP="00E71848">
      <w:pPr>
        <w:wordWrap w:val="0"/>
        <w:ind w:firstLineChars="200" w:firstLine="640"/>
        <w:jc w:val="right"/>
        <w:rPr>
          <w:rFonts w:ascii="仿宋_GB2312" w:eastAsia="仿宋_GB2312" w:hAnsi="Times New Roman" w:hint="eastAsia"/>
          <w:sz w:val="32"/>
          <w:szCs w:val="32"/>
        </w:rPr>
      </w:pPr>
      <w:r w:rsidRPr="00266391">
        <w:rPr>
          <w:rFonts w:ascii="仿宋_GB2312" w:eastAsia="仿宋_GB2312" w:hAnsi="宋体" w:hint="eastAsia"/>
          <w:sz w:val="32"/>
          <w:szCs w:val="32"/>
        </w:rPr>
        <w:t>撰稿：林海娇  核稿：徐婷</w:t>
      </w:r>
    </w:p>
    <w:p w:rsidR="000C1E87" w:rsidRPr="00E71848" w:rsidRDefault="000C1E87"/>
    <w:sectPr w:rsidR="000C1E87" w:rsidRPr="00E71848" w:rsidSect="00E97A4C">
      <w:footerReference w:type="even" r:id="rId8"/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B2086A">
    <w:pPr>
      <w:pStyle w:val="a3"/>
      <w:framePr w:wrap="around" w:vAnchor="text" w:hAnchor="margin" w:xAlign="center" w:y="1"/>
      <w:rPr>
        <w:rStyle w:val="a4"/>
        <w:rFonts w:eastAsia="仿宋_GB2312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8B3" w:rsidRPr="00F15ED1" w:rsidRDefault="00E71848">
    <w:pPr>
      <w:pStyle w:val="a3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15409F">
    <w:pPr>
      <w:pStyle w:val="a3"/>
      <w:jc w:val="center"/>
      <w:rPr>
        <w:rFonts w:ascii="宋体" w:eastAsia="仿宋_GB2312" w:hAnsi="宋体"/>
        <w:sz w:val="32"/>
        <w:szCs w:val="32"/>
      </w:rPr>
    </w:pPr>
    <w:r w:rsidRPr="00F15ED1">
      <w:rPr>
        <w:rFonts w:ascii="宋体" w:eastAsia="仿宋_GB2312" w:hAnsi="宋体"/>
        <w:kern w:val="0"/>
        <w:sz w:val="32"/>
        <w:szCs w:val="32"/>
      </w:rPr>
      <w:t xml:space="preserve">- </w:t>
    </w:r>
    <w:r w:rsidRPr="00F15ED1">
      <w:rPr>
        <w:rFonts w:ascii="宋体" w:eastAsia="仿宋_GB2312" w:hAnsi="宋体"/>
        <w:kern w:val="0"/>
        <w:sz w:val="32"/>
        <w:szCs w:val="32"/>
      </w:rPr>
      <w:fldChar w:fldCharType="begin"/>
    </w:r>
    <w:r w:rsidRPr="00F15ED1">
      <w:rPr>
        <w:rFonts w:ascii="宋体" w:eastAsia="仿宋_GB2312" w:hAnsi="宋体"/>
        <w:kern w:val="0"/>
        <w:sz w:val="32"/>
        <w:szCs w:val="32"/>
      </w:rPr>
      <w:instrText xml:space="preserve"> PAGE </w:instrText>
    </w:r>
    <w:r w:rsidRPr="00F15ED1">
      <w:rPr>
        <w:rFonts w:ascii="宋体" w:eastAsia="仿宋_GB2312" w:hAnsi="宋体"/>
        <w:kern w:val="0"/>
        <w:sz w:val="32"/>
        <w:szCs w:val="32"/>
      </w:rPr>
      <w:fldChar w:fldCharType="separate"/>
    </w:r>
    <w:r>
      <w:rPr>
        <w:rFonts w:ascii="宋体" w:eastAsia="仿宋_GB2312" w:hAnsi="宋体"/>
        <w:noProof/>
        <w:kern w:val="0"/>
        <w:sz w:val="32"/>
        <w:szCs w:val="32"/>
      </w:rPr>
      <w:t>1</w:t>
    </w:r>
    <w:r w:rsidRPr="00F15ED1">
      <w:rPr>
        <w:rFonts w:ascii="宋体" w:eastAsia="仿宋_GB2312" w:hAnsi="宋体"/>
        <w:kern w:val="0"/>
        <w:sz w:val="32"/>
        <w:szCs w:val="32"/>
      </w:rPr>
      <w:fldChar w:fldCharType="end"/>
    </w:r>
    <w:r w:rsidRPr="00F15ED1">
      <w:rPr>
        <w:rFonts w:ascii="宋体" w:eastAsia="仿宋_GB2312" w:hAnsi="宋体"/>
        <w:kern w:val="0"/>
        <w:sz w:val="32"/>
        <w:szCs w:val="32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8"/>
    <w:rsid w:val="000C1E87"/>
    <w:rsid w:val="00E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DA047-EE93-426A-9F47-26D3232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184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7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0154;&#21475;&#22788;\000&#36817;&#26399;&#24037;&#20316;\&#20998;&#26512;&#20449;&#24687;\&#20854;&#23427;&#24066;&#21442;&#32771;&#36164;&#26009;\&#26032;&#24314;&#25991;&#20214;&#22841;\%5b20170807%5d&#28142;&#23433;&#20154;&#21475;&#24773;&#20917;(1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0154;&#21475;&#22788;\000&#36817;&#26399;&#24037;&#20316;\&#20998;&#26512;&#20449;&#24687;\&#20854;&#23427;&#24066;&#21442;&#32771;&#36164;&#26009;\&#26032;&#24314;&#25991;&#20214;&#22841;\%5b20170807%5d&#28142;&#23433;&#20154;&#21475;&#24773;&#20917;(1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0154;&#21475;&#22788;\000&#36817;&#26399;&#24037;&#20316;\&#20998;&#26512;&#20449;&#24687;\&#20854;&#23427;&#24066;&#21442;&#32771;&#36164;&#26009;\&#26032;&#24314;&#25991;&#20214;&#22841;\%5b20170807%5d&#28142;&#23433;&#20154;&#21475;&#24773;&#20917;(1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0154;&#21475;&#22788;\000&#36817;&#26399;&#24037;&#20316;\&#20998;&#26512;&#20449;&#24687;\&#20854;&#23427;&#24066;&#21442;&#32771;&#36164;&#26009;\&#26032;&#24314;&#25991;&#20214;&#22841;\%5b20170807%5d&#28142;&#23433;&#20154;&#21475;&#24773;&#20917;(1)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总人口（万人）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'02常住 (2)'!$B$6</c:f>
              <c:strCache>
                <c:ptCount val="1"/>
                <c:pt idx="0">
                  <c:v>总人口
（万人）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(2)'!$B$7:$B$11</c:f>
              <c:numCache>
                <c:formatCode>0.00</c:formatCode>
                <c:ptCount val="5"/>
                <c:pt idx="0">
                  <c:v>480.3</c:v>
                </c:pt>
                <c:pt idx="1">
                  <c:v>482.69</c:v>
                </c:pt>
                <c:pt idx="2">
                  <c:v>485.21</c:v>
                </c:pt>
                <c:pt idx="3">
                  <c:v>487.2</c:v>
                </c:pt>
                <c:pt idx="4">
                  <c:v>489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059768"/>
        <c:axId val="510104456"/>
      </c:barChart>
      <c:catAx>
        <c:axId val="444059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0104456"/>
        <c:crosses val="autoZero"/>
        <c:auto val="1"/>
        <c:lblAlgn val="ctr"/>
        <c:lblOffset val="100"/>
        <c:noMultiLvlLbl val="0"/>
      </c:catAx>
      <c:valAx>
        <c:axId val="510104456"/>
        <c:scaling>
          <c:orientation val="minMax"/>
          <c:min val="4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40597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出生率、死亡率、自然增长率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'02常住 (2)'!$M$6</c:f>
              <c:strCache>
                <c:ptCount val="1"/>
                <c:pt idx="0">
                  <c:v>出生率
(‰)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(2)'!$M$7:$M$11</c:f>
              <c:numCache>
                <c:formatCode>0.00</c:formatCode>
                <c:ptCount val="5"/>
                <c:pt idx="0">
                  <c:v>12.16</c:v>
                </c:pt>
                <c:pt idx="1">
                  <c:v>12.36</c:v>
                </c:pt>
                <c:pt idx="2">
                  <c:v>12.34</c:v>
                </c:pt>
                <c:pt idx="3">
                  <c:v>11.5</c:v>
                </c:pt>
                <c:pt idx="4">
                  <c:v>10.93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'02常住 (2)'!$N$6</c:f>
              <c:strCache>
                <c:ptCount val="1"/>
                <c:pt idx="0">
                  <c:v>死亡率
(‰)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(2)'!$N$7:$N$11</c:f>
              <c:numCache>
                <c:formatCode>0.00</c:formatCode>
                <c:ptCount val="5"/>
                <c:pt idx="0">
                  <c:v>7.41</c:v>
                </c:pt>
                <c:pt idx="1">
                  <c:v>7.39</c:v>
                </c:pt>
                <c:pt idx="2">
                  <c:v>7.4</c:v>
                </c:pt>
                <c:pt idx="3">
                  <c:v>7.51</c:v>
                </c:pt>
                <c:pt idx="4">
                  <c:v>7.44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'02常住 (2)'!$O$6</c:f>
              <c:strCache>
                <c:ptCount val="1"/>
                <c:pt idx="0">
                  <c:v>自然增
长率(‰)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(2)'!$O$7:$O$11</c:f>
              <c:numCache>
                <c:formatCode>0.00</c:formatCode>
                <c:ptCount val="5"/>
                <c:pt idx="0">
                  <c:v>4.75</c:v>
                </c:pt>
                <c:pt idx="1">
                  <c:v>4.97</c:v>
                </c:pt>
                <c:pt idx="2">
                  <c:v>4.9399999999999995</c:v>
                </c:pt>
                <c:pt idx="3">
                  <c:v>3.99</c:v>
                </c:pt>
                <c:pt idx="4">
                  <c:v>3.4899999999999993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104064"/>
        <c:axId val="439434544"/>
      </c:lineChart>
      <c:catAx>
        <c:axId val="51010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9434544"/>
        <c:crosses val="autoZero"/>
        <c:auto val="1"/>
        <c:lblAlgn val="ctr"/>
        <c:lblOffset val="100"/>
        <c:noMultiLvlLbl val="0"/>
      </c:catAx>
      <c:valAx>
        <c:axId val="43943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1010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城镇化率</a:t>
            </a:r>
            <a:r>
              <a:rPr lang="en-US" altLang="zh-CN"/>
              <a:t>(%)</a:t>
            </a:r>
          </a:p>
        </c:rich>
      </c:tx>
      <c:layout>
        <c:manualLayout>
          <c:xMode val="edge"/>
          <c:yMode val="edge"/>
          <c:x val="0.36944444444444446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'02常住 (2)'!$P$6</c:f>
              <c:strCache>
                <c:ptCount val="1"/>
                <c:pt idx="0">
                  <c:v>城镇化
率(%)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(2)'!$P$7:$P$11</c:f>
              <c:numCache>
                <c:formatCode>0.00</c:formatCode>
                <c:ptCount val="5"/>
                <c:pt idx="0">
                  <c:v>53.5</c:v>
                </c:pt>
                <c:pt idx="1">
                  <c:v>55.06</c:v>
                </c:pt>
                <c:pt idx="2">
                  <c:v>56.46</c:v>
                </c:pt>
                <c:pt idx="3">
                  <c:v>58.15</c:v>
                </c:pt>
                <c:pt idx="4">
                  <c:v>59.68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431800"/>
        <c:axId val="430431088"/>
      </c:barChart>
      <c:catAx>
        <c:axId val="43943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0431088"/>
        <c:crosses val="autoZero"/>
        <c:auto val="1"/>
        <c:lblAlgn val="ctr"/>
        <c:lblOffset val="100"/>
        <c:noMultiLvlLbl val="0"/>
      </c:catAx>
      <c:valAx>
        <c:axId val="430431088"/>
        <c:scaling>
          <c:orientation val="minMax"/>
          <c:max val="60"/>
          <c:min val="5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9431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老年人口比重</a:t>
            </a:r>
            <a:endParaRPr lang="en-US" altLang="zh-CN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'02常住 (2)'!$I$6</c:f>
              <c:strCache>
                <c:ptCount val="1"/>
                <c:pt idx="0">
                  <c:v>65岁以上人口比重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(2)'!$I$7:$I$11</c:f>
              <c:numCache>
                <c:formatCode>0.00</c:formatCode>
                <c:ptCount val="5"/>
                <c:pt idx="0">
                  <c:v>10.616281490734957</c:v>
                </c:pt>
                <c:pt idx="1">
                  <c:v>10.808179162609543</c:v>
                </c:pt>
                <c:pt idx="2">
                  <c:v>11.172482018095259</c:v>
                </c:pt>
                <c:pt idx="3">
                  <c:v>11.496305418719212</c:v>
                </c:pt>
                <c:pt idx="4">
                  <c:v>11.578732106339467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'02常住 (2)'!$L$6</c:f>
              <c:strCache>
                <c:ptCount val="1"/>
                <c:pt idx="0">
                  <c:v>60岁以上人口比重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'02常住 (2)'!$A$7:$A$11</c:f>
              <c:strCache>
                <c:ptCount val="5"/>
                <c:pt idx="0">
                  <c:v>2012年</c:v>
                </c:pt>
                <c:pt idx="1">
                  <c:v>2013年</c:v>
                </c:pt>
                <c:pt idx="2">
                  <c:v>2014年</c:v>
                </c:pt>
                <c:pt idx="3">
                  <c:v>2015年</c:v>
                </c:pt>
                <c:pt idx="4">
                  <c:v>2016年</c:v>
                </c:pt>
              </c:strCache>
            </c:strRef>
          </c:cat>
          <c:val>
            <c:numRef>
              <c:f>'02常住 (2)'!$L$7:$L$11</c:f>
              <c:numCache>
                <c:formatCode>0.00</c:formatCode>
                <c:ptCount val="5"/>
                <c:pt idx="0">
                  <c:v>16.127420362273579</c:v>
                </c:pt>
                <c:pt idx="1">
                  <c:v>16.751952598976569</c:v>
                </c:pt>
                <c:pt idx="2">
                  <c:v>17.371859607180397</c:v>
                </c:pt>
                <c:pt idx="3">
                  <c:v>18.173234811165848</c:v>
                </c:pt>
                <c:pt idx="4">
                  <c:v>18.607361963190183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0429520"/>
        <c:axId val="362560176"/>
      </c:lineChart>
      <c:catAx>
        <c:axId val="43042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62560176"/>
        <c:crosses val="autoZero"/>
        <c:auto val="1"/>
        <c:lblAlgn val="ctr"/>
        <c:lblOffset val="100"/>
        <c:noMultiLvlLbl val="0"/>
      </c:catAx>
      <c:valAx>
        <c:axId val="362560176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3042952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337</Words>
  <Characters>1924</Characters>
  <Application>Microsoft Office Word</Application>
  <DocSecurity>0</DocSecurity>
  <Lines>16</Lines>
  <Paragraphs>4</Paragraphs>
  <ScaleCrop>false</ScaleCrop>
  <Company>国家统计局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2017-10-17T07:08:00Z</dcterms:created>
  <dcterms:modified xsi:type="dcterms:W3CDTF">2017-10-17T07:10:00Z</dcterms:modified>
</cp:coreProperties>
</file>